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51B" w:rsidRDefault="00AC05D8">
      <w:pPr>
        <w:spacing w:line="276" w:lineRule="auto"/>
        <w:ind w:firstLine="709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 3 к письму</w:t>
      </w:r>
    </w:p>
    <w:p w:rsidR="0051051B" w:rsidRDefault="00AC05D8">
      <w:pPr>
        <w:spacing w:line="276" w:lineRule="auto"/>
        <w:ind w:firstLine="709"/>
        <w:jc w:val="right"/>
        <w:rPr>
          <w:sz w:val="28"/>
          <w:szCs w:val="28"/>
        </w:rPr>
      </w:pPr>
      <w:r>
        <w:rPr>
          <w:sz w:val="24"/>
          <w:szCs w:val="24"/>
        </w:rPr>
        <w:t>от ________№_______</w:t>
      </w:r>
    </w:p>
    <w:p w:rsidR="0051051B" w:rsidRDefault="0051051B">
      <w:pPr>
        <w:spacing w:line="276" w:lineRule="auto"/>
        <w:ind w:firstLine="709"/>
        <w:jc w:val="right"/>
        <w:rPr>
          <w:sz w:val="28"/>
          <w:szCs w:val="28"/>
        </w:rPr>
      </w:pPr>
    </w:p>
    <w:p w:rsidR="0051051B" w:rsidRDefault="00AC05D8">
      <w:pPr>
        <w:tabs>
          <w:tab w:val="left" w:pos="426"/>
        </w:tabs>
        <w:spacing w:line="276" w:lineRule="auto"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Информация </w:t>
      </w:r>
    </w:p>
    <w:p w:rsidR="0051051B" w:rsidRDefault="00AC05D8">
      <w:pPr>
        <w:tabs>
          <w:tab w:val="left" w:pos="426"/>
        </w:tabs>
        <w:spacing w:line="276" w:lineRule="auto"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о мерах по повышению эффективности транспортной доступности </w:t>
      </w:r>
      <w:r>
        <w:rPr>
          <w:b/>
          <w:bCs/>
          <w:sz w:val="28"/>
          <w:szCs w:val="28"/>
          <w:highlight w:val="white"/>
        </w:rPr>
        <w:br/>
      </w:r>
      <w:r>
        <w:rPr>
          <w:b/>
          <w:bCs/>
          <w:sz w:val="28"/>
          <w:szCs w:val="28"/>
          <w:highlight w:val="white"/>
        </w:rPr>
        <w:t xml:space="preserve">в отдаленных труднодоступных населенных пунктах Ханты-Мансийского автономного округа – Югры </w:t>
      </w:r>
    </w:p>
    <w:p w:rsidR="0051051B" w:rsidRDefault="0051051B">
      <w:pPr>
        <w:pStyle w:val="13"/>
        <w:spacing w:before="1" w:line="276" w:lineRule="auto"/>
      </w:pPr>
    </w:p>
    <w:p w:rsidR="0051051B" w:rsidRDefault="00AC05D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Снятие инфраструктурных ограничений </w:t>
      </w:r>
      <w:r>
        <w:rPr>
          <w:sz w:val="28"/>
          <w:szCs w:val="28"/>
        </w:rPr>
        <w:t xml:space="preserve">экономического роста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в субъектах Российской Федерации, обеспечение роста транспортной связанности центров экономического роста друг с другом </w:t>
      </w:r>
      <w:r>
        <w:rPr>
          <w:sz w:val="28"/>
          <w:szCs w:val="28"/>
        </w:rPr>
        <w:br/>
      </w:r>
      <w:r>
        <w:rPr>
          <w:sz w:val="28"/>
          <w:szCs w:val="28"/>
        </w:rPr>
        <w:t>и с прилегающими территориями явля</w:t>
      </w:r>
      <w:r>
        <w:rPr>
          <w:sz w:val="28"/>
          <w:szCs w:val="28"/>
        </w:rPr>
        <w:t>ю</w:t>
      </w:r>
      <w:r>
        <w:rPr>
          <w:sz w:val="28"/>
          <w:szCs w:val="28"/>
        </w:rPr>
        <w:t>тся одной из приоритетных задач пространственного развития Российской Федерац</w:t>
      </w:r>
      <w:r>
        <w:rPr>
          <w:sz w:val="28"/>
          <w:szCs w:val="28"/>
        </w:rPr>
        <w:t>ии.</w:t>
      </w:r>
    </w:p>
    <w:p w:rsidR="0051051B" w:rsidRDefault="00AC05D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Стратегией социально-экономического развития Ханты-Мансийского автономного округа – Югры (далее – автономный округ, </w:t>
      </w:r>
      <w:r>
        <w:rPr>
          <w:sz w:val="28"/>
          <w:szCs w:val="28"/>
        </w:rPr>
        <w:t xml:space="preserve">регион, </w:t>
      </w:r>
      <w:r>
        <w:rPr>
          <w:sz w:val="28"/>
          <w:szCs w:val="28"/>
        </w:rPr>
        <w:t>Югра) до 2036 года с целевыми ориентирами до 2050 года (далее – Стратегия) одной из основных целей развития региона определено с</w:t>
      </w:r>
      <w:r>
        <w:rPr>
          <w:sz w:val="28"/>
          <w:szCs w:val="28"/>
        </w:rPr>
        <w:t>нижение инфраструктурных ограничений роста, комплексное развитие транспортной системы.</w:t>
      </w:r>
    </w:p>
    <w:p w:rsidR="0051051B" w:rsidRDefault="00AC05D8">
      <w:pPr>
        <w:spacing w:line="276" w:lineRule="auto"/>
        <w:ind w:firstLine="709"/>
        <w:jc w:val="both"/>
      </w:pPr>
      <w:r>
        <w:rPr>
          <w:sz w:val="28"/>
          <w:szCs w:val="28"/>
        </w:rPr>
        <w:t xml:space="preserve">Задачами комплексного развития транспортной инфраструктуры региона являются повышение пространственной связанности </w:t>
      </w:r>
      <w:r>
        <w:rPr>
          <w:sz w:val="28"/>
          <w:szCs w:val="28"/>
        </w:rPr>
        <w:br/>
      </w:r>
      <w:r>
        <w:rPr>
          <w:sz w:val="28"/>
          <w:szCs w:val="28"/>
        </w:rPr>
        <w:t>и транспортной доступности территорий автономного окр</w:t>
      </w:r>
      <w:r>
        <w:rPr>
          <w:sz w:val="28"/>
          <w:szCs w:val="28"/>
        </w:rPr>
        <w:t>уга</w:t>
      </w:r>
      <w:r>
        <w:rPr>
          <w:sz w:val="28"/>
          <w:szCs w:val="28"/>
        </w:rPr>
        <w:t>, а также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z w:val="28"/>
          <w:szCs w:val="28"/>
        </w:rPr>
        <w:t>ормирование сбалансированной эффективной транспортной инфраструктуры автономного округа в составе единого транспортного пространства Росси</w:t>
      </w:r>
      <w:r>
        <w:rPr>
          <w:sz w:val="28"/>
          <w:szCs w:val="28"/>
        </w:rPr>
        <w:t>йской Федерации</w:t>
      </w:r>
      <w:r>
        <w:rPr>
          <w:sz w:val="28"/>
          <w:szCs w:val="28"/>
        </w:rPr>
        <w:t>, обеспечение связности объектов на территории автономного округа и за ее пределами.</w:t>
      </w:r>
    </w:p>
    <w:p w:rsidR="0051051B" w:rsidRDefault="00AC05D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</w:rPr>
        <w:t>се планы по дальнейшему строительству автомобильных дорог отражены и закреплены в государственной программе «Современная транспортная система», в том числе во взаимоувязке с региональными документами стратегического планирования и планами Российско</w:t>
      </w:r>
      <w:r>
        <w:rPr>
          <w:sz w:val="28"/>
          <w:szCs w:val="28"/>
        </w:rPr>
        <w:t xml:space="preserve">й Федерации. </w:t>
      </w:r>
    </w:p>
    <w:p w:rsidR="0051051B" w:rsidRDefault="00AC05D8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настоящее время </w:t>
      </w:r>
      <w:r>
        <w:rPr>
          <w:sz w:val="28"/>
          <w:szCs w:val="28"/>
          <w:lang w:eastAsia="ar-SA"/>
        </w:rPr>
        <w:t xml:space="preserve">106 населенных пунктов </w:t>
      </w:r>
      <w:r>
        <w:rPr>
          <w:sz w:val="28"/>
          <w:szCs w:val="28"/>
          <w:lang w:eastAsia="ar-SA"/>
        </w:rPr>
        <w:t xml:space="preserve">в регионе </w:t>
      </w:r>
      <w:r>
        <w:rPr>
          <w:sz w:val="28"/>
          <w:szCs w:val="28"/>
          <w:lang w:eastAsia="ar-SA"/>
        </w:rPr>
        <w:t>(всего на территории автономного округа 193 насел</w:t>
      </w:r>
      <w:r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>нных пункта</w:t>
      </w:r>
      <w:r>
        <w:rPr>
          <w:rStyle w:val="af3"/>
          <w:sz w:val="28"/>
          <w:szCs w:val="28"/>
          <w:lang w:eastAsia="ar-SA"/>
        </w:rPr>
        <w:footnoteReference w:id="1"/>
      </w:r>
      <w:r>
        <w:rPr>
          <w:sz w:val="28"/>
          <w:szCs w:val="28"/>
          <w:lang w:eastAsia="ar-SA"/>
        </w:rPr>
        <w:t>) не обеспечены постоянной связью с сетью автомобильных дорог с твердым покрытием.</w:t>
      </w:r>
    </w:p>
    <w:p w:rsidR="0051051B" w:rsidRDefault="00AC05D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Транспортная доступность таких населенных пунктов обеспечивается за счет реализации мероприятий компенсирующего характера.</w:t>
      </w:r>
    </w:p>
    <w:p w:rsidR="0051051B" w:rsidRDefault="00AC05D8">
      <w:pPr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>Зимой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в период действия зимних автомобильных дорог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вводится </w:t>
      </w:r>
      <w:r>
        <w:rPr>
          <w:sz w:val="28"/>
          <w:szCs w:val="28"/>
        </w:rPr>
        <w:lastRenderedPageBreak/>
        <w:t xml:space="preserve">автомобильное (автобусное) сообщение между населенными пунктами </w:t>
      </w:r>
      <w:r>
        <w:rPr>
          <w:sz w:val="28"/>
          <w:szCs w:val="28"/>
        </w:rPr>
        <w:br/>
      </w:r>
      <w:r>
        <w:rPr>
          <w:sz w:val="28"/>
          <w:szCs w:val="28"/>
        </w:rPr>
        <w:t>и райо</w:t>
      </w:r>
      <w:r>
        <w:rPr>
          <w:sz w:val="28"/>
          <w:szCs w:val="28"/>
        </w:rPr>
        <w:t xml:space="preserve">нными центрами с возможностью дальнейшего выхода </w:t>
      </w:r>
      <w:r>
        <w:rPr>
          <w:sz w:val="28"/>
          <w:szCs w:val="28"/>
        </w:rPr>
        <w:br/>
      </w:r>
      <w:r>
        <w:rPr>
          <w:sz w:val="28"/>
          <w:szCs w:val="28"/>
        </w:rPr>
        <w:t xml:space="preserve">на </w:t>
      </w:r>
      <w:r>
        <w:rPr>
          <w:sz w:val="28"/>
          <w:szCs w:val="28"/>
          <w:highlight w:val="white"/>
        </w:rPr>
        <w:t>железнодорожный и воздушный виды транспорта</w:t>
      </w:r>
      <w:r>
        <w:rPr>
          <w:sz w:val="28"/>
          <w:szCs w:val="28"/>
          <w:highlight w:val="white"/>
        </w:rPr>
        <w:t xml:space="preserve"> </w:t>
      </w:r>
      <w:r>
        <w:rPr>
          <w:i/>
          <w:sz w:val="28"/>
          <w:szCs w:val="28"/>
          <w:highlight w:val="white"/>
        </w:rPr>
        <w:t>(всего выполняется 18 зимних межмуниципальных автобусных маршрутов и 19 муниципальных).</w:t>
      </w:r>
    </w:p>
    <w:p w:rsidR="0051051B" w:rsidRDefault="00AC05D8">
      <w:pPr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В летний период выполняются пассажир</w:t>
      </w:r>
      <w:r>
        <w:rPr>
          <w:sz w:val="28"/>
          <w:szCs w:val="28"/>
          <w:highlight w:val="white"/>
        </w:rPr>
        <w:t xml:space="preserve">ские перевозки </w:t>
      </w:r>
      <w:r>
        <w:rPr>
          <w:sz w:val="28"/>
          <w:szCs w:val="28"/>
        </w:rPr>
        <w:t>водным транспортом по магистральным, малым и боковым рекам с возможностью дал</w:t>
      </w:r>
      <w:r>
        <w:rPr>
          <w:sz w:val="28"/>
          <w:szCs w:val="28"/>
          <w:highlight w:val="white"/>
        </w:rPr>
        <w:t xml:space="preserve">ьнейшего выхода на железнодорожный и </w:t>
      </w:r>
      <w:r>
        <w:rPr>
          <w:sz w:val="28"/>
          <w:szCs w:val="28"/>
          <w:highlight w:val="white"/>
        </w:rPr>
        <w:t>воздушный</w:t>
      </w:r>
      <w:r>
        <w:rPr>
          <w:sz w:val="28"/>
          <w:szCs w:val="28"/>
          <w:highlight w:val="white"/>
        </w:rPr>
        <w:t xml:space="preserve"> виды транспорта </w:t>
      </w:r>
      <w:r>
        <w:rPr>
          <w:i/>
          <w:sz w:val="28"/>
          <w:szCs w:val="28"/>
          <w:highlight w:val="white"/>
        </w:rPr>
        <w:t>(16 межмуниципальных и 12 муниципальных маршрутов)</w:t>
      </w:r>
      <w:r>
        <w:rPr>
          <w:sz w:val="28"/>
          <w:szCs w:val="28"/>
          <w:highlight w:val="white"/>
        </w:rPr>
        <w:t>.</w:t>
      </w:r>
    </w:p>
    <w:p w:rsidR="0051051B" w:rsidRDefault="00AC05D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Воздушный транспорт используется в пер</w:t>
      </w:r>
      <w:r>
        <w:rPr>
          <w:sz w:val="28"/>
          <w:szCs w:val="28"/>
          <w:highlight w:val="white"/>
        </w:rPr>
        <w:t>иод распутицы (весна, осень)</w:t>
      </w:r>
      <w:r>
        <w:rPr>
          <w:sz w:val="28"/>
          <w:szCs w:val="28"/>
          <w:highlight w:val="white"/>
        </w:rPr>
        <w:t>,</w:t>
      </w:r>
      <w:r>
        <w:rPr>
          <w:sz w:val="28"/>
          <w:szCs w:val="28"/>
          <w:highlight w:val="white"/>
        </w:rPr>
        <w:t xml:space="preserve"> или в теч</w:t>
      </w:r>
      <w:r>
        <w:rPr>
          <w:sz w:val="28"/>
          <w:szCs w:val="28"/>
        </w:rPr>
        <w:t xml:space="preserve">ение всего года </w:t>
      </w:r>
      <w:r>
        <w:rPr>
          <w:sz w:val="28"/>
          <w:szCs w:val="28"/>
        </w:rPr>
        <w:t>в случаях отсутствия зимних автодорог и рек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и является круглогодичным видом транспорта при условии наличия необходимой авиационной инфраструктуры (аэропорт, аэродром, вертолетная площадка, самолетная посадочная площадка с грунтовой взлетно-посадочной полосой и т.д.).</w:t>
      </w:r>
    </w:p>
    <w:p w:rsidR="0051051B" w:rsidRDefault="00AC05D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Исходя из географических особен</w:t>
      </w:r>
      <w:r>
        <w:rPr>
          <w:sz w:val="28"/>
          <w:szCs w:val="28"/>
        </w:rPr>
        <w:t>ностей региона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воздушный транспорт является наиболее востребованным среди жителей удаленных труднодоступных местностей Югры.</w:t>
      </w:r>
    </w:p>
    <w:p w:rsidR="0051051B" w:rsidRDefault="00AC05D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автономного округа расположено 9 аэропортов </w:t>
      </w:r>
      <w:r>
        <w:rPr>
          <w:sz w:val="28"/>
          <w:szCs w:val="28"/>
        </w:rPr>
        <w:br/>
      </w:r>
      <w:r>
        <w:rPr>
          <w:sz w:val="28"/>
          <w:szCs w:val="28"/>
        </w:rPr>
        <w:t>и 2 самолетные посадочные площадки, в том числе 3 аэропорта являются ме</w:t>
      </w:r>
      <w:r>
        <w:rPr>
          <w:sz w:val="28"/>
          <w:szCs w:val="28"/>
        </w:rPr>
        <w:t>ждународными (Ханты-Мансийск, Сургут, Нижневартовск)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Также на территории автономного округа находятся</w:t>
      </w:r>
      <w:r>
        <w:rPr>
          <w:sz w:val="28"/>
          <w:szCs w:val="28"/>
        </w:rPr>
        <w:t xml:space="preserve"> 75 вертолетных площадок, задействованных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</w:rPr>
        <w:t xml:space="preserve"> посадки/высадки пассажиров.</w:t>
      </w:r>
    </w:p>
    <w:p w:rsidR="0051051B" w:rsidRDefault="00AC05D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Базовым авиаперевозчиком, осуществляющим пассажирские перевозки на территории а</w:t>
      </w:r>
      <w:r>
        <w:rPr>
          <w:sz w:val="28"/>
          <w:szCs w:val="28"/>
        </w:rPr>
        <w:t>втономного округа, является ПАО «Авиакомпания «ЮТэйр». На территории Нижневартовского муниципального района обслуживание населения воздушным транспортом осуществляется АО «Нижневартовскавиа».</w:t>
      </w:r>
    </w:p>
    <w:p w:rsidR="0051051B" w:rsidRDefault="00AC05D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highlight w:val="white"/>
        </w:rPr>
      </w:pPr>
      <w:r>
        <w:rPr>
          <w:sz w:val="28"/>
          <w:szCs w:val="28"/>
        </w:rPr>
        <w:t>Авиакомпании, задействованные для выполнения пассажирских перево</w:t>
      </w:r>
      <w:r>
        <w:rPr>
          <w:sz w:val="28"/>
          <w:szCs w:val="28"/>
        </w:rPr>
        <w:t>зок, эксплуатируют воздушные суда типа</w:t>
      </w:r>
      <w:r>
        <w:rPr>
          <w:sz w:val="28"/>
          <w:szCs w:val="28"/>
        </w:rPr>
        <w:t xml:space="preserve"> АН-24, ATR-72 и вертолеты типа МИ-8Т, МИ-8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АМТ/МТВ. Внутрирегионал</w:t>
      </w:r>
      <w:r>
        <w:rPr>
          <w:color w:val="000000" w:themeColor="text1"/>
          <w:sz w:val="28"/>
          <w:szCs w:val="28"/>
          <w:highlight w:val="white"/>
        </w:rPr>
        <w:t xml:space="preserve">ьные перевозки осуществляются по 38 межмуниципальным маршрутам (14 самолетных и 24 вертолетных) и 15 внутрирайонным (вертолетным) маршрутам. </w:t>
      </w:r>
    </w:p>
    <w:p w:rsidR="0051051B" w:rsidRDefault="00AC05D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пас</w:t>
      </w:r>
      <w:r>
        <w:rPr>
          <w:sz w:val="28"/>
          <w:szCs w:val="28"/>
        </w:rPr>
        <w:t>сажирские авиаперевозки в границах автономного округа субсидируются из двух уровней бюджетов: межмуниципальные – из бюджета автономного округа, внутрирайонные – из бюджетов муниципальных районов.</w:t>
      </w:r>
    </w:p>
    <w:p w:rsidR="0051051B" w:rsidRDefault="00AC05D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мера позволяет снизить стоимость билетов для населени</w:t>
      </w:r>
      <w:r>
        <w:rPr>
          <w:sz w:val="28"/>
          <w:szCs w:val="28"/>
        </w:rPr>
        <w:t>я в среднем на 82</w:t>
      </w:r>
      <w:r>
        <w:rPr>
          <w:sz w:val="28"/>
          <w:szCs w:val="28"/>
        </w:rPr>
        <w:t>%.</w:t>
      </w:r>
    </w:p>
    <w:p w:rsidR="0051051B" w:rsidRDefault="00AC05D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целях сохранения и улучшения транспортной доступности региона при формировании бюджета автономного округа на организацию транспортного обслуживания населения всеми видами транспорта на 2026 год запланировано финансирование в размере </w:t>
      </w:r>
      <w:r>
        <w:rPr>
          <w:sz w:val="28"/>
          <w:szCs w:val="28"/>
        </w:rPr>
        <w:t xml:space="preserve">7 972,25 млн рублей, на плановый период 2026 и 2027 годов – 7 799,99 млн рублей и 8 343,12 млн рублей соответственно. </w:t>
      </w:r>
    </w:p>
    <w:p w:rsidR="0051051B" w:rsidRDefault="0051051B">
      <w:pPr>
        <w:spacing w:line="276" w:lineRule="auto"/>
        <w:jc w:val="center"/>
        <w:rPr>
          <w:b/>
          <w:bCs/>
          <w:sz w:val="28"/>
          <w:szCs w:val="28"/>
        </w:rPr>
      </w:pPr>
    </w:p>
    <w:sectPr w:rsidR="0051051B">
      <w:headerReference w:type="default" r:id="rId7"/>
      <w:pgSz w:w="11906" w:h="16838"/>
      <w:pgMar w:top="1417" w:right="1276" w:bottom="1134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5D8" w:rsidRDefault="00AC05D8">
      <w:r>
        <w:separator/>
      </w:r>
    </w:p>
  </w:endnote>
  <w:endnote w:type="continuationSeparator" w:id="0">
    <w:p w:rsidR="00AC05D8" w:rsidRDefault="00AC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5D8" w:rsidRDefault="00AC05D8">
      <w:r>
        <w:separator/>
      </w:r>
    </w:p>
  </w:footnote>
  <w:footnote w:type="continuationSeparator" w:id="0">
    <w:p w:rsidR="00AC05D8" w:rsidRDefault="00AC05D8">
      <w:r>
        <w:continuationSeparator/>
      </w:r>
    </w:p>
  </w:footnote>
  <w:footnote w:id="1">
    <w:p w:rsidR="0051051B" w:rsidRDefault="00AC05D8">
      <w:pPr>
        <w:pStyle w:val="af1"/>
        <w:jc w:val="both"/>
      </w:pPr>
      <w:r>
        <w:rPr>
          <w:rStyle w:val="af3"/>
        </w:rPr>
        <w:footnoteRef/>
      </w:r>
      <w:r>
        <w:t xml:space="preserve"> Закон Ханты-Мансийского автономного округа – Югры от 07.07.2004 № 43-оз «Об административно-территориальном устройстве Ханты-Мансийского автономного округа - Югры и порядке его изменения»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51B" w:rsidRDefault="00AC05D8">
    <w:pPr>
      <w:pStyle w:val="aa"/>
      <w:jc w:val="center"/>
    </w:pPr>
    <w:r>
      <w:fldChar w:fldCharType="begin"/>
    </w:r>
    <w:r>
      <w:instrText>PAGE \* MERGEFORMAT</w:instrText>
    </w:r>
    <w:r>
      <w:fldChar w:fldCharType="separate"/>
    </w:r>
    <w:r w:rsidR="00527552">
      <w:rPr>
        <w:noProof/>
      </w:rPr>
      <w:t>3</w:t>
    </w:r>
    <w:r>
      <w:fldChar w:fldCharType="end"/>
    </w:r>
  </w:p>
  <w:p w:rsidR="0051051B" w:rsidRDefault="0051051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86B06"/>
    <w:multiLevelType w:val="hybridMultilevel"/>
    <w:tmpl w:val="311C86B4"/>
    <w:lvl w:ilvl="0" w:tplc="0FBAD04A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27EC09DE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C3CE3D74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F03A78A8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2DB03C3C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499683E0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AC441D7A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588EAA74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B768951A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5BF06FD"/>
    <w:multiLevelType w:val="hybridMultilevel"/>
    <w:tmpl w:val="A72E3110"/>
    <w:lvl w:ilvl="0" w:tplc="8C4CE71A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68AE6C2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D79CF88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1FE01CA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B93E2A9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9216D1B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E07CA41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3A3C9CE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AFE0C3D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6F55953"/>
    <w:multiLevelType w:val="hybridMultilevel"/>
    <w:tmpl w:val="382436E0"/>
    <w:lvl w:ilvl="0" w:tplc="A7829FAE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 w:cs="Times New Roman" w:hint="default"/>
        <w:sz w:val="28"/>
      </w:rPr>
    </w:lvl>
    <w:lvl w:ilvl="1" w:tplc="617C5FB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9CCE03C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0807BF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14D6CE3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DCA0863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27C03AE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FC1445A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23BE8D3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EA30A50"/>
    <w:multiLevelType w:val="hybridMultilevel"/>
    <w:tmpl w:val="A6D60EE6"/>
    <w:lvl w:ilvl="0" w:tplc="D8222E62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C722E3E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682E061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38A76D6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93DABD0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ECCA7B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8A9E517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DD20972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D9F64A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3331F10"/>
    <w:multiLevelType w:val="hybridMultilevel"/>
    <w:tmpl w:val="BE1A7208"/>
    <w:lvl w:ilvl="0" w:tplc="162027F2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C62E478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9FE48C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4E100D8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3884860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E906428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4AAC14C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EBDCEF86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905CA0F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7051C7A"/>
    <w:multiLevelType w:val="hybridMultilevel"/>
    <w:tmpl w:val="46D244B2"/>
    <w:lvl w:ilvl="0" w:tplc="B1A0DB1A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0CAEB63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78A859E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8B3CEA9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62FE40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0D12C3D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7A2083E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616AA0B2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3564CE2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49D1A0C"/>
    <w:multiLevelType w:val="hybridMultilevel"/>
    <w:tmpl w:val="C4AA2702"/>
    <w:lvl w:ilvl="0" w:tplc="FEAEE4CA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 w:cs="Times New Roman" w:hint="default"/>
        <w:sz w:val="28"/>
      </w:rPr>
    </w:lvl>
    <w:lvl w:ilvl="1" w:tplc="AE9068B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63343B6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288CFF9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3E78E4F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0BDC5C7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EFCE4B5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EE3AEE7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64626E0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E6975A0"/>
    <w:multiLevelType w:val="hybridMultilevel"/>
    <w:tmpl w:val="72E2CCF2"/>
    <w:lvl w:ilvl="0" w:tplc="E706791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505EA16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1448631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5CCED51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60983B8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BB44D49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A03C8C4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1F4AA0F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AE84770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474E4DE3"/>
    <w:multiLevelType w:val="hybridMultilevel"/>
    <w:tmpl w:val="7602C050"/>
    <w:lvl w:ilvl="0" w:tplc="38602F96">
      <w:start w:val="1"/>
      <w:numFmt w:val="decimal"/>
      <w:lvlText w:val="%1."/>
      <w:lvlJc w:val="left"/>
      <w:rPr>
        <w:strike w:val="0"/>
        <w:sz w:val="28"/>
      </w:rPr>
    </w:lvl>
    <w:lvl w:ilvl="1" w:tplc="F288D278">
      <w:start w:val="1"/>
      <w:numFmt w:val="lowerLetter"/>
      <w:lvlText w:val="%2."/>
      <w:lvlJc w:val="left"/>
      <w:pPr>
        <w:ind w:left="1440" w:hanging="360"/>
      </w:pPr>
    </w:lvl>
    <w:lvl w:ilvl="2" w:tplc="02D871B6">
      <w:start w:val="1"/>
      <w:numFmt w:val="lowerRoman"/>
      <w:lvlText w:val="%3."/>
      <w:lvlJc w:val="right"/>
      <w:pPr>
        <w:ind w:left="2160" w:hanging="180"/>
      </w:pPr>
    </w:lvl>
    <w:lvl w:ilvl="3" w:tplc="EF30CD9A">
      <w:start w:val="1"/>
      <w:numFmt w:val="decimal"/>
      <w:lvlText w:val="%4."/>
      <w:lvlJc w:val="left"/>
      <w:pPr>
        <w:ind w:left="2880" w:hanging="360"/>
      </w:pPr>
    </w:lvl>
    <w:lvl w:ilvl="4" w:tplc="08BEC9B6">
      <w:start w:val="1"/>
      <w:numFmt w:val="lowerLetter"/>
      <w:lvlText w:val="%5."/>
      <w:lvlJc w:val="left"/>
      <w:pPr>
        <w:ind w:left="3600" w:hanging="360"/>
      </w:pPr>
    </w:lvl>
    <w:lvl w:ilvl="5" w:tplc="D72EBADC">
      <w:start w:val="1"/>
      <w:numFmt w:val="lowerRoman"/>
      <w:lvlText w:val="%6."/>
      <w:lvlJc w:val="right"/>
      <w:pPr>
        <w:ind w:left="4320" w:hanging="180"/>
      </w:pPr>
    </w:lvl>
    <w:lvl w:ilvl="6" w:tplc="32962452">
      <w:start w:val="1"/>
      <w:numFmt w:val="decimal"/>
      <w:lvlText w:val="%7."/>
      <w:lvlJc w:val="left"/>
      <w:pPr>
        <w:ind w:left="5040" w:hanging="360"/>
      </w:pPr>
    </w:lvl>
    <w:lvl w:ilvl="7" w:tplc="B71ACE62">
      <w:start w:val="1"/>
      <w:numFmt w:val="lowerLetter"/>
      <w:lvlText w:val="%8."/>
      <w:lvlJc w:val="left"/>
      <w:pPr>
        <w:ind w:left="5760" w:hanging="360"/>
      </w:pPr>
    </w:lvl>
    <w:lvl w:ilvl="8" w:tplc="324ACDC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7038C"/>
    <w:multiLevelType w:val="hybridMultilevel"/>
    <w:tmpl w:val="9A0C357A"/>
    <w:lvl w:ilvl="0" w:tplc="D20A7966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C6EE510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01EC30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273EC906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8FE8535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1820C58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A3CFFBA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30EE997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1FAA610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6D007B05"/>
    <w:multiLevelType w:val="hybridMultilevel"/>
    <w:tmpl w:val="6B7004B4"/>
    <w:lvl w:ilvl="0" w:tplc="ED767248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 w:cs="Times New Roman" w:hint="default"/>
        <w:sz w:val="28"/>
      </w:rPr>
    </w:lvl>
    <w:lvl w:ilvl="1" w:tplc="9BF0ECD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7BD078F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4F3632A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11DED3C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2944618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E0F84CA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61F4288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1988F30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75730CE5"/>
    <w:multiLevelType w:val="hybridMultilevel"/>
    <w:tmpl w:val="D31456A6"/>
    <w:lvl w:ilvl="0" w:tplc="791234AA">
      <w:start w:val="1"/>
      <w:numFmt w:val="decimal"/>
      <w:lvlText w:val="%1."/>
      <w:lvlJc w:val="left"/>
      <w:pPr>
        <w:ind w:left="1418" w:hanging="360"/>
      </w:pPr>
    </w:lvl>
    <w:lvl w:ilvl="1" w:tplc="AB92B050">
      <w:start w:val="1"/>
      <w:numFmt w:val="lowerLetter"/>
      <w:lvlText w:val="%2."/>
      <w:lvlJc w:val="left"/>
      <w:pPr>
        <w:ind w:left="2138" w:hanging="360"/>
      </w:pPr>
    </w:lvl>
    <w:lvl w:ilvl="2" w:tplc="6D7A6068">
      <w:start w:val="1"/>
      <w:numFmt w:val="lowerRoman"/>
      <w:lvlText w:val="%3."/>
      <w:lvlJc w:val="right"/>
      <w:pPr>
        <w:ind w:left="2858" w:hanging="180"/>
      </w:pPr>
    </w:lvl>
    <w:lvl w:ilvl="3" w:tplc="D658869A">
      <w:start w:val="1"/>
      <w:numFmt w:val="decimal"/>
      <w:lvlText w:val="%4."/>
      <w:lvlJc w:val="left"/>
      <w:pPr>
        <w:ind w:left="3578" w:hanging="360"/>
      </w:pPr>
    </w:lvl>
    <w:lvl w:ilvl="4" w:tplc="26FAC23E">
      <w:start w:val="1"/>
      <w:numFmt w:val="lowerLetter"/>
      <w:lvlText w:val="%5."/>
      <w:lvlJc w:val="left"/>
      <w:pPr>
        <w:ind w:left="4298" w:hanging="360"/>
      </w:pPr>
    </w:lvl>
    <w:lvl w:ilvl="5" w:tplc="6A36FF00">
      <w:start w:val="1"/>
      <w:numFmt w:val="lowerRoman"/>
      <w:lvlText w:val="%6."/>
      <w:lvlJc w:val="right"/>
      <w:pPr>
        <w:ind w:left="5018" w:hanging="180"/>
      </w:pPr>
    </w:lvl>
    <w:lvl w:ilvl="6" w:tplc="45202C5C">
      <w:start w:val="1"/>
      <w:numFmt w:val="decimal"/>
      <w:lvlText w:val="%7."/>
      <w:lvlJc w:val="left"/>
      <w:pPr>
        <w:ind w:left="5738" w:hanging="360"/>
      </w:pPr>
    </w:lvl>
    <w:lvl w:ilvl="7" w:tplc="312A9496">
      <w:start w:val="1"/>
      <w:numFmt w:val="lowerLetter"/>
      <w:lvlText w:val="%8."/>
      <w:lvlJc w:val="left"/>
      <w:pPr>
        <w:ind w:left="6458" w:hanging="360"/>
      </w:pPr>
    </w:lvl>
    <w:lvl w:ilvl="8" w:tplc="E5AEE1A4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0"/>
  </w:num>
  <w:num w:numId="5">
    <w:abstractNumId w:val="11"/>
  </w:num>
  <w:num w:numId="6">
    <w:abstractNumId w:val="2"/>
  </w:num>
  <w:num w:numId="7">
    <w:abstractNumId w:val="5"/>
  </w:num>
  <w:num w:numId="8">
    <w:abstractNumId w:val="1"/>
  </w:num>
  <w:num w:numId="9">
    <w:abstractNumId w:val="7"/>
  </w:num>
  <w:num w:numId="10">
    <w:abstractNumId w:val="3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51B"/>
    <w:rsid w:val="0051051B"/>
    <w:rsid w:val="00527552"/>
    <w:rsid w:val="00AC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80D954-1C50-4F3F-A177-AE775F40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List Paragraph"/>
    <w:basedOn w:val="a"/>
    <w:uiPriority w:val="34"/>
    <w:qFormat/>
    <w:pPr>
      <w:ind w:left="401" w:right="129" w:firstLine="698"/>
      <w:jc w:val="both"/>
    </w:p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Page">
    <w:name w:val="ConsPlusTitlePag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docdata">
    <w:name w:val="docdata"/>
    <w:basedOn w:val="a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styleId="afa">
    <w:name w:val="Normal (Web)"/>
    <w:basedOn w:val="a"/>
    <w:uiPriority w:val="99"/>
    <w:semiHidden/>
    <w:unhideWhenUsed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3">
    <w:name w:val="Основной текст1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icfpwr">
    <w:name w:val="sc-icfpwr"/>
  </w:style>
  <w:style w:type="table" w:customStyle="1" w:styleId="14">
    <w:name w:val="Сетка таблицы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Змановская Мария Николаевна</dc:creator>
  <cp:lastModifiedBy>Скосырев Василий Владиславович</cp:lastModifiedBy>
  <cp:revision>2</cp:revision>
  <dcterms:created xsi:type="dcterms:W3CDTF">2026-04-14T16:23:00Z</dcterms:created>
  <dcterms:modified xsi:type="dcterms:W3CDTF">2026-04-14T16:23:00Z</dcterms:modified>
</cp:coreProperties>
</file>